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D0" w:rsidRDefault="008754D0" w:rsidP="008754D0">
      <w:r>
        <w:t>INSTRUKCJA OLA (CZĘŚĆ DURING THE MOBILITY) DLA STUDENTÓW WYJEŻDŻAJĄCYCH</w:t>
      </w:r>
    </w:p>
    <w:p w:rsidR="008754D0" w:rsidRDefault="008754D0" w:rsidP="008754D0"/>
    <w:p w:rsidR="008754D0" w:rsidRDefault="008754D0" w:rsidP="008754D0">
      <w:pPr>
        <w:rPr>
          <w:b/>
        </w:rPr>
      </w:pPr>
      <w:r>
        <w:rPr>
          <w:b/>
        </w:rPr>
        <w:t>KROK I – WYPEŁNIANIE TABELI A2 I B2 LEARNING AGREEMENT ONLINE</w:t>
      </w:r>
    </w:p>
    <w:p w:rsidR="008754D0" w:rsidRDefault="008754D0" w:rsidP="008754D0">
      <w:pPr>
        <w:pStyle w:val="Akapitzlist"/>
        <w:numPr>
          <w:ilvl w:val="0"/>
          <w:numId w:val="2"/>
        </w:numPr>
        <w:spacing w:line="256" w:lineRule="auto"/>
      </w:pPr>
      <w:r>
        <w:t>Wybieramy sekcję: DLA STUDENTÓW</w:t>
      </w:r>
    </w:p>
    <w:p w:rsidR="008754D0" w:rsidRDefault="008754D0" w:rsidP="008754D0">
      <w:r>
        <w:rPr>
          <w:noProof/>
          <w:lang w:eastAsia="pl-PL"/>
        </w:rPr>
        <w:drawing>
          <wp:inline distT="0" distB="0" distL="0" distR="0" wp14:anchorId="554697C9" wp14:editId="1039D549">
            <wp:extent cx="5562600" cy="2895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D0" w:rsidRDefault="008754D0" w:rsidP="008754D0"/>
    <w:p w:rsidR="008754D0" w:rsidRDefault="008754D0" w:rsidP="008754D0">
      <w:pPr>
        <w:pStyle w:val="Akapitzlist"/>
        <w:numPr>
          <w:ilvl w:val="0"/>
          <w:numId w:val="2"/>
        </w:numPr>
        <w:spacing w:line="256" w:lineRule="auto"/>
      </w:pPr>
      <w:r>
        <w:t>Wybieramy sekcję: Wymiana studencka</w:t>
      </w:r>
    </w:p>
    <w:p w:rsidR="008754D0" w:rsidRDefault="008754D0" w:rsidP="008754D0">
      <w:r>
        <w:rPr>
          <w:noProof/>
          <w:lang w:eastAsia="pl-PL"/>
        </w:rPr>
        <w:drawing>
          <wp:inline distT="0" distB="0" distL="0" distR="0" wp14:anchorId="15B80E24" wp14:editId="51032C88">
            <wp:extent cx="3733800" cy="2265410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60" cy="227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D0" w:rsidRDefault="008754D0" w:rsidP="008754D0">
      <w:pPr>
        <w:pStyle w:val="Akapitzlist"/>
        <w:numPr>
          <w:ilvl w:val="0"/>
          <w:numId w:val="2"/>
        </w:numPr>
        <w:spacing w:line="256" w:lineRule="auto"/>
      </w:pPr>
      <w:r>
        <w:t>Wybieramy sekcję: Wyjazdy</w:t>
      </w:r>
    </w:p>
    <w:p w:rsidR="008754D0" w:rsidRPr="00A7627A" w:rsidRDefault="008754D0" w:rsidP="008754D0">
      <w:pPr>
        <w:ind w:left="720"/>
      </w:pPr>
      <w:r>
        <w:rPr>
          <w:noProof/>
          <w:lang w:eastAsia="pl-PL"/>
        </w:rPr>
        <w:drawing>
          <wp:inline distT="0" distB="0" distL="0" distR="0" wp14:anchorId="01D032C1" wp14:editId="2B37C552">
            <wp:extent cx="4191171" cy="14097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863" cy="144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D0" w:rsidRDefault="008754D0" w:rsidP="008754D0">
      <w:pPr>
        <w:pStyle w:val="Akapitzlist"/>
        <w:numPr>
          <w:ilvl w:val="0"/>
          <w:numId w:val="2"/>
        </w:numPr>
        <w:spacing w:line="256" w:lineRule="auto"/>
      </w:pPr>
      <w:r>
        <w:lastRenderedPageBreak/>
        <w:t>Wybieramy opcję EWP LA</w:t>
      </w:r>
    </w:p>
    <w:p w:rsidR="008754D0" w:rsidRDefault="008754D0" w:rsidP="008754D0">
      <w:r>
        <w:rPr>
          <w:noProof/>
          <w:lang w:eastAsia="pl-PL"/>
        </w:rPr>
        <w:drawing>
          <wp:inline distT="0" distB="0" distL="0" distR="0" wp14:anchorId="15999EE7" wp14:editId="4171D2AB">
            <wp:extent cx="5763260" cy="1281430"/>
            <wp:effectExtent l="0" t="0" r="889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D0" w:rsidRDefault="008754D0" w:rsidP="008754D0">
      <w:r>
        <w:rPr>
          <w:noProof/>
          <w:lang w:eastAsia="pl-PL"/>
        </w:rPr>
        <w:drawing>
          <wp:inline distT="0" distB="0" distL="0" distR="0" wp14:anchorId="46ABC04A" wp14:editId="45FCAC60">
            <wp:extent cx="5753100" cy="792480"/>
            <wp:effectExtent l="0" t="0" r="0" b="762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D0" w:rsidRDefault="008754D0" w:rsidP="008754D0">
      <w:pPr>
        <w:pStyle w:val="Akapitzlist"/>
        <w:numPr>
          <w:ilvl w:val="0"/>
          <w:numId w:val="2"/>
        </w:numPr>
        <w:spacing w:line="256" w:lineRule="auto"/>
      </w:pPr>
      <w:r>
        <w:t>Wybieramy edycję: Porozumienia o programie studiów (na dole strony):</w:t>
      </w:r>
    </w:p>
    <w:p w:rsidR="008754D0" w:rsidRDefault="008754D0" w:rsidP="008754D0">
      <w:r>
        <w:rPr>
          <w:noProof/>
          <w:lang w:eastAsia="pl-PL"/>
        </w:rPr>
        <w:drawing>
          <wp:inline distT="0" distB="0" distL="0" distR="0" wp14:anchorId="096DC262" wp14:editId="52C6E578">
            <wp:extent cx="5756275" cy="12261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D0" w:rsidRDefault="008754D0" w:rsidP="008754D0">
      <w:pPr>
        <w:spacing w:line="256" w:lineRule="auto"/>
      </w:pPr>
      <w:r>
        <w:t xml:space="preserve">Teraz widoczny będzie Learning Agreement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do, k</w:t>
      </w:r>
      <w:r w:rsidR="00EA7084">
        <w:t>tórego należy wprowadzić zmiany poprzez naciśnięcie „utwórz nową wersję”:</w:t>
      </w:r>
    </w:p>
    <w:p w:rsidR="00EA7084" w:rsidRDefault="00EA7084" w:rsidP="008754D0">
      <w:pPr>
        <w:spacing w:line="256" w:lineRule="auto"/>
      </w:pPr>
      <w:r w:rsidRPr="00EA7084">
        <w:rPr>
          <w:noProof/>
          <w:lang w:eastAsia="pl-PL"/>
        </w:rPr>
        <w:drawing>
          <wp:inline distT="0" distB="0" distL="0" distR="0" wp14:anchorId="0BA19C24" wp14:editId="3E59A85F">
            <wp:extent cx="2293819" cy="716342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3819" cy="7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084" w:rsidRDefault="00EA7084" w:rsidP="008754D0">
      <w:pPr>
        <w:spacing w:line="256" w:lineRule="auto"/>
      </w:pPr>
    </w:p>
    <w:p w:rsidR="00C105BC" w:rsidRDefault="00C105BC" w:rsidP="008754D0">
      <w:pPr>
        <w:pStyle w:val="Akapitzlist"/>
        <w:numPr>
          <w:ilvl w:val="0"/>
          <w:numId w:val="2"/>
        </w:numPr>
        <w:spacing w:line="256" w:lineRule="auto"/>
      </w:pPr>
      <w:r>
        <w:t>Usuwanie komponentu</w:t>
      </w:r>
      <w:r w:rsidR="008754D0">
        <w:t xml:space="preserve"> z tabeli A. Kliknij „usuń” przy przedmiocie z uczelni partnerskiej, który chcesz usunąć:</w:t>
      </w:r>
    </w:p>
    <w:p w:rsidR="008754D0" w:rsidRDefault="00C105BC">
      <w:r>
        <w:rPr>
          <w:noProof/>
          <w:lang w:eastAsia="pl-PL"/>
        </w:rPr>
        <w:drawing>
          <wp:inline distT="0" distB="0" distL="0" distR="0">
            <wp:extent cx="5760720" cy="2552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5BC" w:rsidRDefault="008754D0">
      <w:r>
        <w:lastRenderedPageBreak/>
        <w:t>Otworzy się specjalne pole to wpisania powodu zmiany. Należy je uzupełnić i kliknąć</w:t>
      </w:r>
      <w:r w:rsidR="00C105BC">
        <w:t>: usuń</w:t>
      </w:r>
    </w:p>
    <w:p w:rsidR="00C105BC" w:rsidRDefault="00C105BC">
      <w:r>
        <w:rPr>
          <w:noProof/>
          <w:lang w:eastAsia="pl-PL"/>
        </w:rPr>
        <w:drawing>
          <wp:inline distT="0" distB="0" distL="0" distR="0">
            <wp:extent cx="5135880" cy="204755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885" cy="205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5BC" w:rsidRDefault="00C105BC"/>
    <w:p w:rsidR="00C105BC" w:rsidRDefault="008754D0" w:rsidP="008754D0">
      <w:pPr>
        <w:pStyle w:val="Akapitzlist"/>
        <w:numPr>
          <w:ilvl w:val="0"/>
          <w:numId w:val="2"/>
        </w:numPr>
      </w:pPr>
      <w:r>
        <w:t>Po usunięciu wszystkich przedmiotów, które powinny zostać usunięte z LA można dodać nowe przedmioty</w:t>
      </w:r>
      <w:r w:rsidR="00313600">
        <w:t>, klikając w „dodaj komponent”</w:t>
      </w:r>
      <w:r>
        <w:t>:</w:t>
      </w:r>
      <w:r w:rsidR="00C105BC">
        <w:t xml:space="preserve"> </w:t>
      </w:r>
    </w:p>
    <w:p w:rsidR="00EF6855" w:rsidRDefault="00EF6855">
      <w:r>
        <w:rPr>
          <w:noProof/>
          <w:lang w:eastAsia="pl-PL"/>
        </w:rPr>
        <w:drawing>
          <wp:inline distT="0" distB="0" distL="0" distR="0">
            <wp:extent cx="4985736" cy="294132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112" cy="295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5BC" w:rsidRDefault="00C105BC"/>
    <w:p w:rsidR="008754D0" w:rsidRDefault="008754D0" w:rsidP="008754D0">
      <w:r>
        <w:t>Otworzy się specjalne pole to wpisania powodu zmiany. Należy je uzupełnić i kliknąć: dodaj komponent</w:t>
      </w:r>
    </w:p>
    <w:p w:rsidR="00EF6855" w:rsidRDefault="00EF6855">
      <w:r>
        <w:rPr>
          <w:noProof/>
          <w:lang w:eastAsia="pl-PL"/>
        </w:rPr>
        <w:drawing>
          <wp:inline distT="0" distB="0" distL="0" distR="0">
            <wp:extent cx="5527492" cy="18059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131" cy="182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5BC" w:rsidRDefault="008754D0">
      <w:r>
        <w:lastRenderedPageBreak/>
        <w:t>Po dodaniu komponentu z</w:t>
      </w:r>
      <w:r w:rsidR="00EF6855">
        <w:t xml:space="preserve">apisz </w:t>
      </w:r>
      <w:r>
        <w:t>nowo wprowadzony przedmiot klikając w „zapisz”</w:t>
      </w:r>
    </w:p>
    <w:p w:rsidR="00EF6855" w:rsidRDefault="008754D0">
      <w:r>
        <w:rPr>
          <w:noProof/>
          <w:lang w:eastAsia="pl-PL"/>
        </w:rPr>
        <w:drawing>
          <wp:inline distT="0" distB="0" distL="0" distR="0">
            <wp:extent cx="5571067" cy="6096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935" cy="60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55" w:rsidRDefault="00EF6855" w:rsidP="00313600">
      <w:pPr>
        <w:pStyle w:val="Akapitzlist"/>
        <w:numPr>
          <w:ilvl w:val="0"/>
          <w:numId w:val="2"/>
        </w:numPr>
      </w:pPr>
      <w:r>
        <w:t>Po wprowadzeniu w</w:t>
      </w:r>
      <w:r w:rsidR="00313600">
        <w:t>szystkich dodanych przedmiotów kliknij na „</w:t>
      </w:r>
      <w:r>
        <w:t>zapisz tabelę</w:t>
      </w:r>
      <w:r w:rsidR="00313600">
        <w:t>”</w:t>
      </w:r>
      <w:r>
        <w:t>:</w:t>
      </w:r>
    </w:p>
    <w:p w:rsidR="00EF6855" w:rsidRDefault="00EF6855">
      <w:r>
        <w:rPr>
          <w:noProof/>
          <w:lang w:eastAsia="pl-PL"/>
        </w:rPr>
        <w:drawing>
          <wp:inline distT="0" distB="0" distL="0" distR="0">
            <wp:extent cx="5379372" cy="342970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752" cy="343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55" w:rsidRDefault="00EF6855"/>
    <w:p w:rsidR="00EF6855" w:rsidRDefault="00EF6855" w:rsidP="00313600">
      <w:r>
        <w:t>Analogicznie postępuj z tabelą B2, jeśli również zachodzą tam zmiany:</w:t>
      </w:r>
    </w:p>
    <w:p w:rsidR="00EF6855" w:rsidRDefault="00EF6855"/>
    <w:p w:rsidR="00313600" w:rsidRDefault="00313600" w:rsidP="00313600">
      <w:pPr>
        <w:pStyle w:val="Akapitzlist"/>
        <w:numPr>
          <w:ilvl w:val="0"/>
          <w:numId w:val="2"/>
        </w:numPr>
        <w:spacing w:line="256" w:lineRule="auto"/>
      </w:pPr>
      <w:r>
        <w:t>Usuwanie komponentu z tabeli B. Kliknij „usuń” przy przedmiocie z , który chcesz usunąć:</w:t>
      </w:r>
    </w:p>
    <w:p w:rsidR="00EF6855" w:rsidRDefault="00EF6855">
      <w:r>
        <w:rPr>
          <w:noProof/>
          <w:lang w:eastAsia="pl-PL"/>
        </w:rPr>
        <w:drawing>
          <wp:inline distT="0" distB="0" distL="0" distR="0">
            <wp:extent cx="5760720" cy="28575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55" w:rsidRDefault="00EF6855"/>
    <w:p w:rsidR="00313600" w:rsidRDefault="00313600" w:rsidP="00313600">
      <w:pPr>
        <w:pStyle w:val="Akapitzlist"/>
        <w:numPr>
          <w:ilvl w:val="0"/>
          <w:numId w:val="4"/>
        </w:numPr>
      </w:pPr>
      <w:r>
        <w:t>Po usunięciu wszystkich przedmiotów, które powinny zostać usunięte z tabeli B można dodać nowe przedmioty, klikając w „dodaj komponent” :</w:t>
      </w:r>
    </w:p>
    <w:p w:rsidR="00EF6855" w:rsidRDefault="00EF6855">
      <w:r>
        <w:rPr>
          <w:noProof/>
          <w:lang w:eastAsia="pl-PL"/>
        </w:rPr>
        <w:drawing>
          <wp:inline distT="0" distB="0" distL="0" distR="0">
            <wp:extent cx="5760720" cy="1211580"/>
            <wp:effectExtent l="0" t="0" r="0" b="762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600" w:rsidRDefault="00313600" w:rsidP="00313600"/>
    <w:p w:rsidR="00EF6855" w:rsidRDefault="00313600" w:rsidP="00313600">
      <w:r>
        <w:t>(po dodaniu wszystkich koniecznych przedmiotów kliknij „zapisz tabelę”)</w:t>
      </w:r>
    </w:p>
    <w:p w:rsidR="00313600" w:rsidRDefault="00313600" w:rsidP="00313600"/>
    <w:p w:rsidR="00EF6855" w:rsidRDefault="00EF6855" w:rsidP="00313600">
      <w:pPr>
        <w:pStyle w:val="Akapitzlist"/>
        <w:numPr>
          <w:ilvl w:val="0"/>
          <w:numId w:val="2"/>
        </w:numPr>
      </w:pPr>
      <w:r>
        <w:t>Po wprowadzeniu wszystkich zmian, kliknij zaakceptuj (na dole strony):</w:t>
      </w:r>
    </w:p>
    <w:p w:rsidR="00313600" w:rsidRDefault="00313600" w:rsidP="00313600">
      <w:pPr>
        <w:pStyle w:val="Akapitzlist"/>
        <w:ind w:left="1080"/>
      </w:pPr>
    </w:p>
    <w:p w:rsidR="00EF6855" w:rsidRDefault="00EF6855">
      <w:r>
        <w:rPr>
          <w:noProof/>
          <w:lang w:eastAsia="pl-PL"/>
        </w:rPr>
        <w:drawing>
          <wp:inline distT="0" distB="0" distL="0" distR="0">
            <wp:extent cx="5760720" cy="16383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600" w:rsidRDefault="00313600"/>
    <w:p w:rsidR="00EF6855" w:rsidRDefault="00475018">
      <w:r>
        <w:t xml:space="preserve">Teraz twój Learning Agreement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będzie widoczny dla twojego Koordynatora Kierunku. Poproś koordynatora kierunku o jego akceptację. Po akceptacji koordynatora LA zostanie automatycznie przekazane do akceptacji uczelni partnerskiej. </w:t>
      </w:r>
    </w:p>
    <w:sectPr w:rsidR="00EF6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A1E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3895"/>
    <w:multiLevelType w:val="hybridMultilevel"/>
    <w:tmpl w:val="5C6C0C2C"/>
    <w:lvl w:ilvl="0" w:tplc="9C34F9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357D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C40F3B"/>
    <w:multiLevelType w:val="hybridMultilevel"/>
    <w:tmpl w:val="81AE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BC"/>
    <w:rsid w:val="00104BB4"/>
    <w:rsid w:val="00313600"/>
    <w:rsid w:val="00475018"/>
    <w:rsid w:val="005B7772"/>
    <w:rsid w:val="00777E72"/>
    <w:rsid w:val="0082480A"/>
    <w:rsid w:val="008754D0"/>
    <w:rsid w:val="00C105BC"/>
    <w:rsid w:val="00EA7084"/>
    <w:rsid w:val="00E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CACE"/>
  <w15:chartTrackingRefBased/>
  <w15:docId w15:val="{D6977B76-2BD1-4401-A412-90197611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Gogol</dc:creator>
  <cp:keywords/>
  <dc:description/>
  <cp:lastModifiedBy> </cp:lastModifiedBy>
  <cp:revision>6</cp:revision>
  <dcterms:created xsi:type="dcterms:W3CDTF">2023-11-07T10:49:00Z</dcterms:created>
  <dcterms:modified xsi:type="dcterms:W3CDTF">2023-12-01T11:54:00Z</dcterms:modified>
</cp:coreProperties>
</file>